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8D0BB2" w:rsidRDefault="00560997" w:rsidP="00D422CA">
      <w:pPr>
        <w:pStyle w:val="Heading1"/>
      </w:pPr>
      <w:r w:rsidRPr="008D0BB2">
        <w:t xml:space="preserve">Стандард </w:t>
      </w:r>
      <w:r w:rsidR="00584C17" w:rsidRPr="008D0BB2">
        <w:t>10: Организациона и материјална средства</w:t>
      </w:r>
    </w:p>
    <w:p w:rsidR="00E73BC6" w:rsidRPr="001503A8" w:rsidRDefault="00576C88" w:rsidP="00E73BC6">
      <w:pPr>
        <w:widowControl w:val="0"/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  <w:lang w:eastAsia="sr-Latn-CS"/>
        </w:rPr>
      </w:pPr>
      <w:r w:rsidRPr="00576C88">
        <w:rPr>
          <w:rFonts w:asciiTheme="minorHAnsi" w:eastAsia="Times New Roman" w:hAnsiTheme="minorHAnsi" w:cstheme="minorHAnsi"/>
          <w:szCs w:val="22"/>
          <w:lang w:val="sr-Cyrl-CS" w:eastAsia="sr-Latn-CS"/>
        </w:rPr>
        <w:t xml:space="preserve">За извођење наставе на студијском програму </w:t>
      </w:r>
      <w:r w:rsidRPr="00576C88">
        <w:rPr>
          <w:rFonts w:asciiTheme="minorHAnsi" w:eastAsia="Times New Roman" w:hAnsiTheme="minorHAnsi" w:cstheme="minorHAnsi"/>
          <w:szCs w:val="22"/>
          <w:lang w:val="sr-Latn-CS" w:eastAsia="sr-Latn-CS"/>
        </w:rPr>
        <w:t>специјалистичк</w:t>
      </w:r>
      <w:r w:rsidRPr="00576C88">
        <w:rPr>
          <w:rFonts w:asciiTheme="minorHAnsi" w:eastAsia="Times New Roman" w:hAnsiTheme="minorHAnsi" w:cstheme="minorHAnsi"/>
          <w:szCs w:val="22"/>
          <w:lang w:eastAsia="sr-Latn-CS"/>
        </w:rPr>
        <w:t xml:space="preserve">их </w:t>
      </w:r>
      <w:r w:rsidRPr="00576C88">
        <w:rPr>
          <w:rFonts w:asciiTheme="minorHAnsi" w:eastAsia="Times New Roman" w:hAnsiTheme="minorHAnsi" w:cstheme="minorHAnsi"/>
          <w:szCs w:val="22"/>
          <w:lang w:val="sr-Latn-CS" w:eastAsia="sr-Latn-CS"/>
        </w:rPr>
        <w:t>академск</w:t>
      </w:r>
      <w:r w:rsidRPr="00576C88">
        <w:rPr>
          <w:rFonts w:asciiTheme="minorHAnsi" w:eastAsia="Times New Roman" w:hAnsiTheme="minorHAnsi" w:cstheme="minorHAnsi"/>
          <w:szCs w:val="22"/>
          <w:lang w:eastAsia="sr-Latn-CS"/>
        </w:rPr>
        <w:t>их</w:t>
      </w:r>
      <w:r w:rsidRPr="00576C88">
        <w:rPr>
          <w:rFonts w:asciiTheme="minorHAnsi" w:eastAsia="Times New Roman" w:hAnsiTheme="minorHAnsi" w:cstheme="minorHAnsi"/>
          <w:szCs w:val="22"/>
          <w:lang w:val="sr-Latn-CS" w:eastAsia="sr-Latn-CS"/>
        </w:rPr>
        <w:t xml:space="preserve"> студиј</w:t>
      </w:r>
      <w:r w:rsidRPr="00576C88">
        <w:rPr>
          <w:rFonts w:asciiTheme="minorHAnsi" w:eastAsia="Times New Roman" w:hAnsiTheme="minorHAnsi" w:cstheme="minorHAnsi"/>
          <w:szCs w:val="22"/>
          <w:lang w:eastAsia="sr-Latn-CS"/>
        </w:rPr>
        <w:t>а</w:t>
      </w:r>
      <w:r w:rsidRPr="00576C88">
        <w:rPr>
          <w:rFonts w:asciiTheme="minorHAnsi" w:eastAsia="Times New Roman" w:hAnsiTheme="minorHAnsi" w:cstheme="minorHAnsi"/>
          <w:szCs w:val="22"/>
          <w:lang w:val="sr-Latn-CS" w:eastAsia="sr-Latn-CS"/>
        </w:rPr>
        <w:t xml:space="preserve"> </w:t>
      </w:r>
      <w:r w:rsidRPr="00576C88">
        <w:rPr>
          <w:rFonts w:asciiTheme="minorHAnsi" w:eastAsia="Times New Roman" w:hAnsiTheme="minorHAnsi" w:cstheme="minorHAnsi"/>
          <w:szCs w:val="22"/>
          <w:lang w:val="sr-Cyrl-CS" w:eastAsia="sr-Latn-CS"/>
        </w:rPr>
        <w:t>Фармакотерапија у фармацеутској пракси</w:t>
      </w:r>
      <w:r w:rsidR="00E73BC6">
        <w:rPr>
          <w:rFonts w:asciiTheme="minorHAnsi" w:eastAsia="Times New Roman" w:hAnsiTheme="minorHAnsi" w:cstheme="minorHAnsi"/>
          <w:szCs w:val="22"/>
          <w:lang w:val="sr-Cyrl-CS" w:eastAsia="sr-Latn-CS"/>
        </w:rPr>
        <w:t>,</w:t>
      </w:r>
      <w:r w:rsidRPr="00576C88">
        <w:rPr>
          <w:rFonts w:asciiTheme="minorHAnsi" w:eastAsia="Times New Roman" w:hAnsiTheme="minorHAnsi" w:cstheme="minorHAnsi"/>
          <w:szCs w:val="22"/>
          <w:lang w:val="sr-Cyrl-CS" w:eastAsia="sr-Latn-CS"/>
        </w:rPr>
        <w:t xml:space="preserve"> Фармацеутск</w:t>
      </w:r>
      <w:r w:rsidR="00E73BC6">
        <w:rPr>
          <w:rFonts w:asciiTheme="minorHAnsi" w:eastAsia="Times New Roman" w:hAnsiTheme="minorHAnsi" w:cstheme="minorHAnsi"/>
          <w:szCs w:val="22"/>
          <w:lang w:val="sr-Cyrl-CS" w:eastAsia="sr-Latn-CS"/>
        </w:rPr>
        <w:t>и</w:t>
      </w:r>
      <w:r w:rsidRPr="00576C88">
        <w:rPr>
          <w:rFonts w:asciiTheme="minorHAnsi" w:eastAsia="Times New Roman" w:hAnsiTheme="minorHAnsi" w:cstheme="minorHAnsi"/>
          <w:szCs w:val="22"/>
          <w:lang w:val="sr-Cyrl-CS" w:eastAsia="sr-Latn-CS"/>
        </w:rPr>
        <w:t xml:space="preserve"> факултет располаже одговарајућим простором</w:t>
      </w:r>
      <w:r w:rsidRPr="00576C88">
        <w:rPr>
          <w:rFonts w:asciiTheme="minorHAnsi" w:eastAsia="Times New Roman" w:hAnsiTheme="minorHAnsi" w:cstheme="minorHAnsi"/>
          <w:szCs w:val="22"/>
          <w:lang w:eastAsia="sr-Latn-CS"/>
        </w:rPr>
        <w:t xml:space="preserve"> </w:t>
      </w:r>
      <w:r w:rsidR="00E73BC6" w:rsidRPr="001503A8">
        <w:rPr>
          <w:rFonts w:asciiTheme="minorHAnsi" w:eastAsia="Times New Roman" w:hAnsiTheme="minorHAnsi" w:cstheme="minorHAnsi"/>
          <w:szCs w:val="22"/>
          <w:lang w:eastAsia="sr-Latn-CS"/>
        </w:rPr>
        <w:t>и опремом.</w:t>
      </w:r>
    </w:p>
    <w:p w:rsidR="00E73BC6" w:rsidRPr="001503A8" w:rsidRDefault="00E73BC6" w:rsidP="00E73BC6">
      <w:pPr>
        <w:widowControl w:val="0"/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  <w:lang w:eastAsia="sr-Latn-CS"/>
        </w:rPr>
      </w:pP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Факултет располаже са 15900 м2 сопственог простора, од чега је око 9500 м2 нето простор за извођење наставе, што за укупно 2172 студента на свим програмима у Установи износи 7,3 м2 бруто, односно 4,4 м2 нето простора по студенту. За наставу на студијском програму специјалистичких академских студија </w:t>
      </w:r>
      <w:r w:rsidRPr="00576C88">
        <w:rPr>
          <w:rFonts w:asciiTheme="minorHAnsi" w:eastAsia="Times New Roman" w:hAnsiTheme="minorHAnsi" w:cstheme="minorHAnsi"/>
          <w:szCs w:val="22"/>
          <w:lang w:val="sr-Cyrl-CS" w:eastAsia="sr-Latn-CS"/>
        </w:rPr>
        <w:t>Фармакотерапија у фармацеутској пракси</w:t>
      </w: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 користи се </w:t>
      </w:r>
      <w:r>
        <w:rPr>
          <w:rFonts w:asciiTheme="minorHAnsi" w:eastAsia="Times New Roman" w:hAnsiTheme="minorHAnsi" w:cstheme="minorHAnsi"/>
          <w:szCs w:val="22"/>
          <w:lang w:eastAsia="sr-Latn-CS"/>
        </w:rPr>
        <w:t>994,2</w:t>
      </w: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 м2, који обухвата </w:t>
      </w:r>
      <w:r>
        <w:rPr>
          <w:rFonts w:asciiTheme="minorHAnsi" w:eastAsia="Times New Roman" w:hAnsiTheme="minorHAnsi" w:cstheme="minorHAnsi"/>
          <w:szCs w:val="22"/>
          <w:lang w:eastAsia="sr-Latn-CS"/>
        </w:rPr>
        <w:t>три</w:t>
      </w: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 амфитеатра, </w:t>
      </w:r>
      <w:r>
        <w:rPr>
          <w:rFonts w:asciiTheme="minorHAnsi" w:eastAsia="Times New Roman" w:hAnsiTheme="minorHAnsi" w:cstheme="minorHAnsi"/>
          <w:szCs w:val="22"/>
          <w:lang w:eastAsia="sr-Latn-CS"/>
        </w:rPr>
        <w:t>три</w:t>
      </w: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 компјутерске </w:t>
      </w:r>
      <w:r>
        <w:rPr>
          <w:rFonts w:asciiTheme="minorHAnsi" w:eastAsia="Times New Roman" w:hAnsiTheme="minorHAnsi" w:cstheme="minorHAnsi"/>
          <w:szCs w:val="22"/>
          <w:lang w:eastAsia="sr-Latn-CS"/>
        </w:rPr>
        <w:t>учионице, две лабораторије и једну вежбаоницу</w:t>
      </w: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. Простор задовољава све потребне урбанистичке, техничко-технолошке и хигијенске услове. У просторијама у којима се изводи настава обезбеђена је опрема за видео презентације. </w:t>
      </w:r>
    </w:p>
    <w:p w:rsidR="00E73BC6" w:rsidRPr="001503A8" w:rsidRDefault="00E73BC6" w:rsidP="00E73BC6">
      <w:pPr>
        <w:widowControl w:val="0"/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  <w:lang w:eastAsia="sr-Latn-CS"/>
        </w:rPr>
      </w:pP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У компјутерским </w:t>
      </w:r>
      <w:r>
        <w:rPr>
          <w:rFonts w:asciiTheme="minorHAnsi" w:eastAsia="Times New Roman" w:hAnsiTheme="minorHAnsi" w:cstheme="minorHAnsi"/>
          <w:szCs w:val="22"/>
          <w:lang w:eastAsia="sr-Latn-CS"/>
        </w:rPr>
        <w:t>учионицама</w:t>
      </w: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 у којима се изводи настава студентима је на располагању </w:t>
      </w:r>
      <w:r>
        <w:rPr>
          <w:rFonts w:asciiTheme="minorHAnsi" w:eastAsia="Times New Roman" w:hAnsiTheme="minorHAnsi" w:cstheme="minorHAnsi"/>
          <w:szCs w:val="22"/>
          <w:lang w:eastAsia="sr-Latn-CS"/>
        </w:rPr>
        <w:t>91</w:t>
      </w: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 рачунар са интернет везом, а цела зграда је покривена wireless-ом. У оквиру информатичке подршке студентима на располагању стоје базе података за претраживање електронски доступних часописа.</w:t>
      </w:r>
    </w:p>
    <w:p w:rsidR="00E73BC6" w:rsidRPr="001503A8" w:rsidRDefault="00E73BC6" w:rsidP="00E73BC6">
      <w:pPr>
        <w:widowControl w:val="0"/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  <w:lang w:eastAsia="sr-Latn-CS"/>
        </w:rPr>
      </w:pP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Факултет располаже библиотеком снабдевеном књигама, уџбеницима, приручницима и научним часописима. За студијски програм је обезбеђена потребна литература која садржи листу од </w:t>
      </w:r>
      <w:r>
        <w:rPr>
          <w:rFonts w:asciiTheme="minorHAnsi" w:eastAsia="Times New Roman" w:hAnsiTheme="minorHAnsi" w:cstheme="minorHAnsi"/>
          <w:szCs w:val="22"/>
          <w:lang w:eastAsia="sr-Latn-CS"/>
        </w:rPr>
        <w:t>30</w:t>
      </w: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 различитих савремених библиотечких јединица. На списку уџбеника који су на располагању студентима је </w:t>
      </w:r>
      <w:r w:rsidR="006A050B">
        <w:rPr>
          <w:rFonts w:asciiTheme="minorHAnsi" w:eastAsia="Times New Roman" w:hAnsiTheme="minorHAnsi" w:cstheme="minorHAnsi"/>
          <w:szCs w:val="22"/>
          <w:lang w:eastAsia="sr-Latn-CS"/>
        </w:rPr>
        <w:t>20</w:t>
      </w:r>
      <w:bookmarkStart w:id="0" w:name="_GoBack"/>
      <w:bookmarkEnd w:id="0"/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 савремених књига. Сви обавезни и изборни предмети су покривени одговарајућом литературом. </w:t>
      </w:r>
    </w:p>
    <w:p w:rsidR="008D0BB2" w:rsidRPr="008D0BB2" w:rsidRDefault="008D0BB2" w:rsidP="00E73BC6">
      <w:pPr>
        <w:widowControl w:val="0"/>
        <w:autoSpaceDE w:val="0"/>
        <w:autoSpaceDN w:val="0"/>
        <w:adjustRightInd w:val="0"/>
      </w:pPr>
      <w:r w:rsidRPr="008D0BB2">
        <w:t>Прилози и табеле</w:t>
      </w:r>
    </w:p>
    <w:p w:rsidR="008F6767" w:rsidRDefault="008F6767" w:rsidP="008F6767">
      <w:pPr>
        <w:spacing w:after="0"/>
      </w:pPr>
      <w:r>
        <w:t>Прилог 10.1. Књига инвентара</w:t>
      </w:r>
    </w:p>
    <w:p w:rsidR="008F6767" w:rsidRDefault="008F6767" w:rsidP="008F6767">
      <w:pPr>
        <w:spacing w:after="0"/>
      </w:pPr>
      <w:r>
        <w:t>Прилог 10.2. Доказ о поседовању информационе технологије, броја интернет прикључака и сл.</w:t>
      </w:r>
    </w:p>
    <w:p w:rsidR="008F6767" w:rsidRDefault="008F6767" w:rsidP="008F6767">
      <w:pPr>
        <w:spacing w:after="0"/>
      </w:pPr>
      <w:r>
        <w:t>Табела 10.1. Листа просторија са површином у високошколској установи у којој се изводи настава на студијском програму</w:t>
      </w:r>
    </w:p>
    <w:p w:rsidR="008F6767" w:rsidRDefault="008F6767" w:rsidP="008F6767">
      <w:pPr>
        <w:spacing w:after="0"/>
      </w:pPr>
      <w:r>
        <w:t>Табела 10.2. Листа опреме за извођење студијског програма</w:t>
      </w:r>
    </w:p>
    <w:p w:rsidR="008F6767" w:rsidRDefault="008F6767" w:rsidP="008F6767">
      <w:pPr>
        <w:spacing w:after="0"/>
      </w:pPr>
      <w:r>
        <w:t xml:space="preserve">Табела 10.3. Листа библиотечких јединица релевантних за студијски програм </w:t>
      </w:r>
    </w:p>
    <w:p w:rsidR="008F6767" w:rsidRDefault="008F6767" w:rsidP="008F6767">
      <w:pPr>
        <w:spacing w:after="0"/>
      </w:pPr>
      <w:r>
        <w:t>Табела 10.4. Листа уџбеника  доступна студентима на студијском програму</w:t>
      </w:r>
    </w:p>
    <w:p w:rsidR="00005A97" w:rsidRPr="008D0BB2" w:rsidRDefault="008F6767" w:rsidP="008F6767">
      <w:pPr>
        <w:spacing w:after="0"/>
        <w:rPr>
          <w:b/>
        </w:rPr>
      </w:pPr>
      <w:r>
        <w:t>Табела 10.5. Покривеност обавезних предмета литературом (књигама, збиркама, практикумима, које се налазе у библиотеци или их има у продаји)</w:t>
      </w:r>
    </w:p>
    <w:sectPr w:rsidR="00005A97" w:rsidRPr="008D0BB2" w:rsidSect="00541192">
      <w:headerReference w:type="default" r:id="rId6"/>
      <w:foot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351" w:rsidRDefault="00625351" w:rsidP="006A1398">
      <w:pPr>
        <w:spacing w:after="0" w:line="240" w:lineRule="auto"/>
      </w:pPr>
      <w:r>
        <w:separator/>
      </w:r>
    </w:p>
  </w:endnote>
  <w:endnote w:type="continuationSeparator" w:id="0">
    <w:p w:rsidR="00625351" w:rsidRDefault="00625351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25351">
      <w:rPr>
        <w:noProof/>
      </w:rPr>
      <w:t>1</w:t>
    </w:r>
    <w:r>
      <w:rPr>
        <w:noProof/>
      </w:rPr>
      <w:fldChar w:fldCharType="end"/>
    </w:r>
  </w:p>
  <w:p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351" w:rsidRDefault="00625351" w:rsidP="006A1398">
      <w:pPr>
        <w:spacing w:after="0" w:line="240" w:lineRule="auto"/>
      </w:pPr>
      <w:r>
        <w:separator/>
      </w:r>
    </w:p>
  </w:footnote>
  <w:footnote w:type="continuationSeparator" w:id="0">
    <w:p w:rsidR="00625351" w:rsidRDefault="00625351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398" w:rsidRPr="00584C17" w:rsidRDefault="006A1398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584C17">
      <w:rPr>
        <w:u w:val="single"/>
      </w:rPr>
      <w:t>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05A97"/>
    <w:rsid w:val="000D6F07"/>
    <w:rsid w:val="00120D3A"/>
    <w:rsid w:val="001503A8"/>
    <w:rsid w:val="00215BB2"/>
    <w:rsid w:val="00277584"/>
    <w:rsid w:val="002C6078"/>
    <w:rsid w:val="00342380"/>
    <w:rsid w:val="00402643"/>
    <w:rsid w:val="00407AA0"/>
    <w:rsid w:val="004508CA"/>
    <w:rsid w:val="00495F36"/>
    <w:rsid w:val="004E0056"/>
    <w:rsid w:val="00541192"/>
    <w:rsid w:val="00560997"/>
    <w:rsid w:val="005766C6"/>
    <w:rsid w:val="00576C88"/>
    <w:rsid w:val="00584C17"/>
    <w:rsid w:val="005C7975"/>
    <w:rsid w:val="005F6C69"/>
    <w:rsid w:val="00625351"/>
    <w:rsid w:val="006355BD"/>
    <w:rsid w:val="00673083"/>
    <w:rsid w:val="006A050B"/>
    <w:rsid w:val="006A1398"/>
    <w:rsid w:val="006E546E"/>
    <w:rsid w:val="00782FA5"/>
    <w:rsid w:val="00816D44"/>
    <w:rsid w:val="008D0BB2"/>
    <w:rsid w:val="008F6767"/>
    <w:rsid w:val="009A6E52"/>
    <w:rsid w:val="009C03C0"/>
    <w:rsid w:val="00AE0568"/>
    <w:rsid w:val="00B46D10"/>
    <w:rsid w:val="00BA74B6"/>
    <w:rsid w:val="00BC1285"/>
    <w:rsid w:val="00C50830"/>
    <w:rsid w:val="00D422CA"/>
    <w:rsid w:val="00DA2B9D"/>
    <w:rsid w:val="00E63C88"/>
    <w:rsid w:val="00E73BC6"/>
    <w:rsid w:val="00F6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6226A"/>
  <w15:chartTrackingRefBased/>
  <w15:docId w15:val="{1938A63A-E82C-4C29-8149-20B08A24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D0BB2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BB2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0BB2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8D0BB2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D0BB2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3Char">
    <w:name w:val="Heading 3 Char"/>
    <w:link w:val="Heading3"/>
    <w:uiPriority w:val="9"/>
    <w:rsid w:val="008D0BB2"/>
    <w:rPr>
      <w:rFonts w:eastAsia="Times New Roman"/>
      <w:b/>
      <w:smallCaps/>
      <w:spacing w:val="20"/>
      <w:sz w:val="24"/>
      <w:szCs w:val="24"/>
      <w:lang w:val="sr-Cyrl-RS"/>
    </w:rPr>
  </w:style>
  <w:style w:type="character" w:customStyle="1" w:styleId="Heading2Char">
    <w:name w:val="Heading 2 Char"/>
    <w:link w:val="Heading2"/>
    <w:uiPriority w:val="9"/>
    <w:rsid w:val="008D0BB2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styleId="Hyperlink">
    <w:name w:val="Hyperlink"/>
    <w:uiPriority w:val="99"/>
    <w:unhideWhenUsed/>
    <w:rsid w:val="008D0B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СТАНДАРД 10: ОРГАНИЗАЦИОНА И МАТЕРИЈАЛНА СРЕДСТВА</vt:lpstr>
      <vt:lpstr>Стандард 10: Организациона и материјална средства</vt:lpstr>
      <vt:lpstr>        </vt:lpstr>
      <vt:lpstr>        Прилози и табеле</vt:lpstr>
    </vt:vector>
  </TitlesOfParts>
  <Company>Farmaceutski fakultet</Company>
  <LinksUpToDate>false</LinksUpToDate>
  <CharactersWithSpaces>2109</CharactersWithSpaces>
  <SharedDoc>false</SharedDoc>
  <HLinks>
    <vt:vector size="42" baseType="variant">
      <vt:variant>
        <vt:i4>3145775</vt:i4>
      </vt:variant>
      <vt:variant>
        <vt:i4>18</vt:i4>
      </vt:variant>
      <vt:variant>
        <vt:i4>0</vt:i4>
      </vt:variant>
      <vt:variant>
        <vt:i4>5</vt:i4>
      </vt:variant>
      <vt:variant>
        <vt:lpwstr>Tabela 10.5.pdf</vt:lpwstr>
      </vt:variant>
      <vt:variant>
        <vt:lpwstr/>
      </vt:variant>
      <vt:variant>
        <vt:i4>3145774</vt:i4>
      </vt:variant>
      <vt:variant>
        <vt:i4>15</vt:i4>
      </vt:variant>
      <vt:variant>
        <vt:i4>0</vt:i4>
      </vt:variant>
      <vt:variant>
        <vt:i4>5</vt:i4>
      </vt:variant>
      <vt:variant>
        <vt:lpwstr>Tabela 10.4.pdf</vt:lpwstr>
      </vt:variant>
      <vt:variant>
        <vt:lpwstr/>
      </vt:variant>
      <vt:variant>
        <vt:i4>3145769</vt:i4>
      </vt:variant>
      <vt:variant>
        <vt:i4>12</vt:i4>
      </vt:variant>
      <vt:variant>
        <vt:i4>0</vt:i4>
      </vt:variant>
      <vt:variant>
        <vt:i4>5</vt:i4>
      </vt:variant>
      <vt:variant>
        <vt:lpwstr>Tabela 10.3.pdf</vt:lpwstr>
      </vt:variant>
      <vt:variant>
        <vt:lpwstr/>
      </vt:variant>
      <vt:variant>
        <vt:i4>3145768</vt:i4>
      </vt:variant>
      <vt:variant>
        <vt:i4>9</vt:i4>
      </vt:variant>
      <vt:variant>
        <vt:i4>0</vt:i4>
      </vt:variant>
      <vt:variant>
        <vt:i4>5</vt:i4>
      </vt:variant>
      <vt:variant>
        <vt:lpwstr>Tabela 10.2.pdf</vt:lpwstr>
      </vt:variant>
      <vt:variant>
        <vt:lpwstr/>
      </vt:variant>
      <vt:variant>
        <vt:i4>3145771</vt:i4>
      </vt:variant>
      <vt:variant>
        <vt:i4>6</vt:i4>
      </vt:variant>
      <vt:variant>
        <vt:i4>0</vt:i4>
      </vt:variant>
      <vt:variant>
        <vt:i4>5</vt:i4>
      </vt:variant>
      <vt:variant>
        <vt:lpwstr>Tabela 10.1.pdf</vt:lpwstr>
      </vt:variant>
      <vt:variant>
        <vt:lpwstr/>
      </vt:variant>
      <vt:variant>
        <vt:i4>2883620</vt:i4>
      </vt:variant>
      <vt:variant>
        <vt:i4>3</vt:i4>
      </vt:variant>
      <vt:variant>
        <vt:i4>0</vt:i4>
      </vt:variant>
      <vt:variant>
        <vt:i4>5</vt:i4>
      </vt:variant>
      <vt:variant>
        <vt:lpwstr>Prilog 10.2.pdf</vt:lpwstr>
      </vt:variant>
      <vt:variant>
        <vt:lpwstr/>
      </vt:variant>
      <vt:variant>
        <vt:i4>2883623</vt:i4>
      </vt:variant>
      <vt:variant>
        <vt:i4>0</vt:i4>
      </vt:variant>
      <vt:variant>
        <vt:i4>0</vt:i4>
      </vt:variant>
      <vt:variant>
        <vt:i4>5</vt:i4>
      </vt:variant>
      <vt:variant>
        <vt:lpwstr>Prilog 10.1.pdf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10: ОРГАНИЗАЦИОНА И МАТЕРИЈАЛНА СРЕДСТВА</dc:title>
  <dc:subject/>
  <dc:creator>Nikola Spasić</dc:creator>
  <cp:keywords/>
  <cp:lastModifiedBy>Slavica Spasić</cp:lastModifiedBy>
  <cp:revision>6</cp:revision>
  <dcterms:created xsi:type="dcterms:W3CDTF">2016-12-19T08:41:00Z</dcterms:created>
  <dcterms:modified xsi:type="dcterms:W3CDTF">2017-01-02T13:21:00Z</dcterms:modified>
</cp:coreProperties>
</file>